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47B685DE" w:rsidR="00674329" w:rsidRPr="00965CC8" w:rsidRDefault="00096EA7" w:rsidP="0084003C">
      <w:pPr>
        <w:rPr>
          <w:rFonts w:cstheme="minorHAnsi"/>
          <w:b/>
          <w:sz w:val="28"/>
          <w:szCs w:val="28"/>
        </w:rPr>
      </w:pPr>
      <w:r w:rsidRPr="00965CC8">
        <w:rPr>
          <w:rFonts w:cstheme="minorHAnsi"/>
          <w:b/>
          <w:sz w:val="28"/>
          <w:szCs w:val="28"/>
        </w:rPr>
        <w:t>National Tutoring Funding Action Plan 202</w:t>
      </w:r>
      <w:r w:rsidR="006B551D">
        <w:rPr>
          <w:rFonts w:cstheme="minorHAnsi"/>
          <w:b/>
          <w:sz w:val="28"/>
          <w:szCs w:val="28"/>
        </w:rPr>
        <w:t>3</w:t>
      </w:r>
      <w:r w:rsidR="00C26BB4">
        <w:rPr>
          <w:rFonts w:cstheme="minorHAnsi"/>
          <w:b/>
          <w:sz w:val="28"/>
          <w:szCs w:val="28"/>
        </w:rPr>
        <w:t>-2</w:t>
      </w:r>
      <w:r w:rsidR="006B551D">
        <w:rPr>
          <w:rFonts w:cstheme="minorHAnsi"/>
          <w:b/>
          <w:sz w:val="28"/>
          <w:szCs w:val="28"/>
        </w:rPr>
        <w:t>4</w:t>
      </w:r>
    </w:p>
    <w:p w14:paraId="268359EC" w14:textId="7BADD4FA" w:rsidR="00096EA7" w:rsidRPr="00965CC8" w:rsidRDefault="00096EA7" w:rsidP="00096EA7">
      <w:pPr>
        <w:rPr>
          <w:rFonts w:cstheme="minorHAnsi"/>
          <w:b/>
          <w:sz w:val="24"/>
          <w:szCs w:val="24"/>
        </w:rPr>
      </w:pPr>
      <w:r w:rsidRPr="00965CC8">
        <w:rPr>
          <w:rFonts w:cstheme="minorHAnsi"/>
          <w:b/>
          <w:sz w:val="24"/>
          <w:szCs w:val="24"/>
        </w:rPr>
        <w:t>Summary Information:</w:t>
      </w:r>
    </w:p>
    <w:p w14:paraId="56D07DCB" w14:textId="78B2FA83" w:rsidR="00096EA7" w:rsidRPr="00965CC8" w:rsidRDefault="00096EA7" w:rsidP="00096EA7">
      <w:pPr>
        <w:rPr>
          <w:rFonts w:cstheme="minorHAnsi"/>
        </w:rPr>
      </w:pPr>
      <w:r w:rsidRPr="00965CC8">
        <w:rPr>
          <w:rFonts w:cstheme="minorHAnsi"/>
          <w:color w:val="0B0C0C"/>
          <w:shd w:val="clear" w:color="auto" w:fill="FFFFFF"/>
        </w:rPr>
        <w:t xml:space="preserve">The National Tutoring Programme (NTP) helps support disadvantaged and vulnerable pupils from year 1 to year 11 to catch-up on missed education due to coronavirus (COVID-19). </w:t>
      </w:r>
      <w:r w:rsidRPr="00965CC8">
        <w:rPr>
          <w:rFonts w:cstheme="minorHAnsi"/>
        </w:rPr>
        <w:t xml:space="preserve">School-Led Tutoring </w:t>
      </w:r>
      <w:r w:rsidR="00965CC8">
        <w:rPr>
          <w:rFonts w:cstheme="minorHAnsi"/>
        </w:rPr>
        <w:t>has been</w:t>
      </w:r>
      <w:r w:rsidRPr="00965CC8">
        <w:rPr>
          <w:rFonts w:cstheme="minorHAnsi"/>
        </w:rPr>
        <w:t xml:space="preserve"> introduced as part of the National Tutoring Programme in 2021/22. Eligible state-funded schools and academy trusts will receive a ring-fenced grant to source their own tutoring provision for disadvantaged and vulnerable pupils who have missed the most education due to COVID-19.</w:t>
      </w:r>
    </w:p>
    <w:p w14:paraId="0E6BF68E" w14:textId="453F26F7" w:rsidR="00096EA7" w:rsidRDefault="00096EA7" w:rsidP="00096EA7">
      <w:pPr>
        <w:rPr>
          <w:rFonts w:cstheme="minorHAnsi"/>
        </w:rPr>
      </w:pPr>
      <w:r w:rsidRPr="00965CC8">
        <w:rPr>
          <w:rFonts w:cstheme="minorHAnsi"/>
        </w:rPr>
        <w:t xml:space="preserve">Schools and academy trusts can access three tutoring routes as part of the National Tutoring Programme: </w:t>
      </w:r>
      <w:r w:rsidR="00F44206">
        <w:rPr>
          <w:rFonts w:cstheme="minorHAnsi"/>
        </w:rPr>
        <w:t>Springfield</w:t>
      </w:r>
      <w:r w:rsidR="00965CC8">
        <w:rPr>
          <w:rFonts w:cstheme="minorHAnsi"/>
        </w:rPr>
        <w:t xml:space="preserve"> School will use the available funding to access </w:t>
      </w:r>
      <w:r w:rsidRPr="00965CC8">
        <w:rPr>
          <w:rFonts w:cstheme="minorHAnsi"/>
        </w:rPr>
        <w:t xml:space="preserve">Route three: </w:t>
      </w:r>
      <w:r w:rsidRPr="00CC42A0">
        <w:rPr>
          <w:rFonts w:cstheme="minorHAnsi"/>
          <w:b/>
        </w:rPr>
        <w:t>School-Led Tutoring</w:t>
      </w:r>
      <w:r w:rsidR="00965CC8" w:rsidRPr="00CC42A0">
        <w:rPr>
          <w:rFonts w:cstheme="minorHAnsi"/>
          <w:b/>
        </w:rPr>
        <w:t>.</w:t>
      </w:r>
      <w:r w:rsidRPr="00965CC8">
        <w:rPr>
          <w:rFonts w:cstheme="minorHAnsi"/>
        </w:rPr>
        <w:t xml:space="preserve"> </w:t>
      </w:r>
    </w:p>
    <w:p w14:paraId="5B6ACCB7" w14:textId="197655ED" w:rsidR="00CC42A0" w:rsidRPr="00CC42A0" w:rsidRDefault="00CC42A0" w:rsidP="00096EA7">
      <w:pPr>
        <w:rPr>
          <w:rFonts w:cstheme="minorHAnsi"/>
        </w:rPr>
      </w:pPr>
      <w:r w:rsidRPr="00CC42A0">
        <w:rPr>
          <w:rFonts w:cstheme="minorHAnsi"/>
          <w:color w:val="0B0C0C"/>
          <w:shd w:val="clear" w:color="auto" w:fill="FFFFFF"/>
        </w:rPr>
        <w:t>The school-led tutoring route offers flexibility for schools to identify their own tutors. These may be people recruited from their own staff, such as classroom teachers or teaching assistants. School leaders can decide who will be an appropriate tutor with the skills and experience to deliver high-quality tuition to meet the needs of their pupils. E</w:t>
      </w:r>
    </w:p>
    <w:p w14:paraId="0E0A8F9A" w14:textId="3248CE52" w:rsidR="000D01E5" w:rsidRDefault="00096EA7" w:rsidP="00096EA7">
      <w:pPr>
        <w:rPr>
          <w:rFonts w:cstheme="minorHAnsi"/>
        </w:rPr>
      </w:pPr>
      <w:r w:rsidRPr="00965CC8">
        <w:rPr>
          <w:rFonts w:cstheme="minorHAnsi"/>
        </w:rPr>
        <w:t xml:space="preserve">Funding is allocated for around </w:t>
      </w:r>
      <w:r w:rsidR="009E0C9D">
        <w:rPr>
          <w:rFonts w:cstheme="minorHAnsi"/>
        </w:rPr>
        <w:t>50</w:t>
      </w:r>
      <w:r w:rsidRPr="00965CC8">
        <w:rPr>
          <w:rFonts w:cstheme="minorHAnsi"/>
        </w:rPr>
        <w:t xml:space="preserve">% of pupils eligible for pupil premium per school. </w:t>
      </w:r>
      <w:r w:rsidR="006B551D">
        <w:rPr>
          <w:rFonts w:cstheme="minorHAnsi"/>
        </w:rPr>
        <w:t>50</w:t>
      </w:r>
      <w:r w:rsidRPr="00965CC8">
        <w:rPr>
          <w:rFonts w:cstheme="minorHAnsi"/>
        </w:rPr>
        <w:t>% of the cost is subsidised in academic year 202</w:t>
      </w:r>
      <w:r w:rsidR="006B551D">
        <w:rPr>
          <w:rFonts w:cstheme="minorHAnsi"/>
        </w:rPr>
        <w:t>3</w:t>
      </w:r>
      <w:r w:rsidRPr="00965CC8">
        <w:rPr>
          <w:rFonts w:cstheme="minorHAnsi"/>
        </w:rPr>
        <w:t>/2</w:t>
      </w:r>
      <w:r w:rsidR="006B551D">
        <w:rPr>
          <w:rFonts w:cstheme="minorHAnsi"/>
        </w:rPr>
        <w:t>4</w:t>
      </w:r>
      <w:r w:rsidRPr="00965CC8">
        <w:rPr>
          <w:rFonts w:cstheme="minorHAnsi"/>
        </w:rPr>
        <w:t xml:space="preserve">. </w:t>
      </w:r>
    </w:p>
    <w:p w14:paraId="16ED1E41" w14:textId="25FF2E91" w:rsidR="00096EA7" w:rsidRPr="00965CC8" w:rsidRDefault="00965CC8" w:rsidP="00096EA7">
      <w:pPr>
        <w:rPr>
          <w:rFonts w:cstheme="minorHAnsi"/>
        </w:rPr>
      </w:pPr>
      <w:r w:rsidRPr="00965CC8">
        <w:rPr>
          <w:rFonts w:cstheme="minorHAnsi"/>
          <w:b/>
        </w:rPr>
        <w:t xml:space="preserve">At </w:t>
      </w:r>
      <w:r w:rsidR="00F44206">
        <w:rPr>
          <w:rFonts w:cstheme="minorHAnsi"/>
          <w:b/>
        </w:rPr>
        <w:t>Springfield</w:t>
      </w:r>
      <w:r w:rsidRPr="00965CC8">
        <w:rPr>
          <w:rFonts w:cstheme="minorHAnsi"/>
          <w:b/>
        </w:rPr>
        <w:t xml:space="preserve"> School, the total amount of funding allocated is</w:t>
      </w:r>
      <w:r w:rsidR="006B551D">
        <w:rPr>
          <w:rFonts w:cstheme="minorHAnsi"/>
          <w:b/>
        </w:rPr>
        <w:t xml:space="preserve"> £</w:t>
      </w:r>
      <w:proofErr w:type="gramStart"/>
      <w:r w:rsidR="006B551D">
        <w:rPr>
          <w:rFonts w:cstheme="minorHAnsi"/>
          <w:b/>
        </w:rPr>
        <w:t>3,701.25</w:t>
      </w:r>
      <w:r w:rsidRPr="00965CC8">
        <w:rPr>
          <w:rFonts w:cstheme="minorHAnsi"/>
          <w:b/>
        </w:rPr>
        <w:t xml:space="preserve"> </w:t>
      </w:r>
      <w:r w:rsidRPr="00121497">
        <w:rPr>
          <w:rFonts w:cstheme="minorHAnsi"/>
          <w:b/>
          <w:color w:val="FF0000"/>
        </w:rPr>
        <w:t xml:space="preserve"> </w:t>
      </w:r>
      <w:r w:rsidRPr="00965CC8">
        <w:rPr>
          <w:rFonts w:cstheme="minorHAnsi"/>
          <w:b/>
        </w:rPr>
        <w:t>(</w:t>
      </w:r>
      <w:proofErr w:type="gramEnd"/>
      <w:r w:rsidRPr="00965CC8">
        <w:rPr>
          <w:rFonts w:cstheme="minorHAnsi"/>
          <w:b/>
        </w:rPr>
        <w:t>Total allocation funded by ESFA (</w:t>
      </w:r>
      <w:r w:rsidR="009E0C9D">
        <w:rPr>
          <w:rFonts w:cstheme="minorHAnsi"/>
          <w:b/>
        </w:rPr>
        <w:t>5</w:t>
      </w:r>
      <w:r w:rsidR="00F44206">
        <w:rPr>
          <w:rFonts w:cstheme="minorHAnsi"/>
          <w:b/>
        </w:rPr>
        <w:t>0</w:t>
      </w:r>
      <w:r w:rsidRPr="00965CC8">
        <w:rPr>
          <w:rFonts w:cstheme="minorHAnsi"/>
          <w:b/>
        </w:rPr>
        <w:t xml:space="preserve">% of total expected costs) based on </w:t>
      </w:r>
      <w:r w:rsidR="006B551D">
        <w:rPr>
          <w:rFonts w:cstheme="minorHAnsi"/>
          <w:b/>
        </w:rPr>
        <w:t>21</w:t>
      </w:r>
      <w:r w:rsidRPr="00965CC8">
        <w:rPr>
          <w:rFonts w:cstheme="minorHAnsi"/>
          <w:b/>
        </w:rPr>
        <w:t xml:space="preserve"> pupils).</w:t>
      </w:r>
    </w:p>
    <w:p w14:paraId="4F7E6C31" w14:textId="2780C895" w:rsidR="00096EA7" w:rsidRPr="00965CC8" w:rsidRDefault="00096EA7" w:rsidP="00096EA7">
      <w:pPr>
        <w:rPr>
          <w:rFonts w:cstheme="minorHAnsi"/>
        </w:rPr>
      </w:pPr>
      <w:r w:rsidRPr="00965CC8">
        <w:rPr>
          <w:rFonts w:cstheme="minorHAnsi"/>
        </w:rPr>
        <w:t xml:space="preserve">Schools and academy trusts will need to fund the remaining </w:t>
      </w:r>
      <w:r w:rsidR="009E0C9D">
        <w:rPr>
          <w:rFonts w:cstheme="minorHAnsi"/>
        </w:rPr>
        <w:t>5</w:t>
      </w:r>
      <w:r w:rsidR="00784FC2">
        <w:rPr>
          <w:rFonts w:cstheme="minorHAnsi"/>
        </w:rPr>
        <w:t>0</w:t>
      </w:r>
      <w:r w:rsidRPr="00965CC8">
        <w:rPr>
          <w:rFonts w:cstheme="minorHAnsi"/>
        </w:rPr>
        <w:t xml:space="preserve">% through other budgets, for example recovery premium or pupil premium. </w:t>
      </w:r>
    </w:p>
    <w:p w14:paraId="3B15DF16" w14:textId="114922AE" w:rsidR="00096EA7" w:rsidRPr="00965CC8" w:rsidRDefault="00096EA7" w:rsidP="00096EA7">
      <w:pPr>
        <w:rPr>
          <w:rFonts w:cstheme="minorHAnsi"/>
        </w:rPr>
      </w:pPr>
      <w:r w:rsidRPr="00965CC8">
        <w:rPr>
          <w:rFonts w:cstheme="minorHAnsi"/>
        </w:rPr>
        <w:t>Academy trusts will be funded directly. Although there is no requirement to apply for this ring-fenced funding, there are conditions attached including the completion of an end of year financial return.</w:t>
      </w:r>
    </w:p>
    <w:p w14:paraId="18CE0F2C" w14:textId="106D94C3" w:rsidR="00096EA7" w:rsidRPr="00965CC8" w:rsidRDefault="00096EA7" w:rsidP="00096EA7">
      <w:pPr>
        <w:rPr>
          <w:rFonts w:cstheme="minorHAnsi"/>
        </w:rPr>
      </w:pPr>
      <w:r w:rsidRPr="00965CC8">
        <w:rPr>
          <w:rFonts w:cstheme="minorHAnsi"/>
        </w:rPr>
        <w:t>The grant is designed to help close the education gap between disadvantaged and vulnerable pupils and their peers. Schools and academy trusts are expected to prioritise these pupils for the tutoring. However, schools have the flexibility to decide which pupils need the most support to help them catch-up on missed education.</w:t>
      </w:r>
    </w:p>
    <w:p w14:paraId="62A7FFF3" w14:textId="4C2FB420" w:rsidR="000D01E5" w:rsidRPr="00965CC8" w:rsidRDefault="00096EA7" w:rsidP="00096EA7">
      <w:pPr>
        <w:rPr>
          <w:rFonts w:cstheme="minorHAnsi"/>
        </w:rPr>
      </w:pPr>
      <w:r w:rsidRPr="00965CC8">
        <w:rPr>
          <w:rFonts w:cstheme="minorHAnsi"/>
        </w:rPr>
        <w:t>For special schools, the grant can also be used for tutoring to support catch-up in the broader curriculum, for example practising and consolidating techniques in speech and language therapy. This provision must be additional to a pupil’s existing learning programme set out by the school or an Education, Health and Care Plan. This grant should not be used for existing provision that the school or local authority would pay for in a normal year but should be used for additional support for a pupil’s personalised curriculum where they have fallen behind due to COVID-19. The funding should be used to cover the actual staff costs of delivering catch-up tuition.</w:t>
      </w:r>
    </w:p>
    <w:tbl>
      <w:tblPr>
        <w:tblStyle w:val="TableGrid"/>
        <w:tblW w:w="0" w:type="auto"/>
        <w:tblLook w:val="04A0" w:firstRow="1" w:lastRow="0" w:firstColumn="1" w:lastColumn="0" w:noHBand="0" w:noVBand="1"/>
      </w:tblPr>
      <w:tblGrid>
        <w:gridCol w:w="4649"/>
        <w:gridCol w:w="4649"/>
        <w:gridCol w:w="4650"/>
      </w:tblGrid>
      <w:tr w:rsidR="00E752CA" w14:paraId="7190424F" w14:textId="77777777" w:rsidTr="0084003C">
        <w:tc>
          <w:tcPr>
            <w:tcW w:w="4649" w:type="dxa"/>
            <w:shd w:val="clear" w:color="auto" w:fill="E7E6E6" w:themeFill="background2"/>
          </w:tcPr>
          <w:p w14:paraId="4CA33348" w14:textId="77777777" w:rsidR="0084003C" w:rsidRPr="0084003C" w:rsidRDefault="0084003C" w:rsidP="0084003C">
            <w:pPr>
              <w:jc w:val="center"/>
              <w:rPr>
                <w:rFonts w:cstheme="minorHAnsi"/>
                <w:b/>
                <w:sz w:val="24"/>
                <w:szCs w:val="24"/>
              </w:rPr>
            </w:pPr>
          </w:p>
          <w:p w14:paraId="25DCF10E" w14:textId="28187091" w:rsidR="00E752CA" w:rsidRPr="0084003C" w:rsidRDefault="0084003C" w:rsidP="0084003C">
            <w:pPr>
              <w:jc w:val="center"/>
              <w:rPr>
                <w:rFonts w:cstheme="minorHAnsi"/>
                <w:b/>
                <w:sz w:val="24"/>
                <w:szCs w:val="24"/>
              </w:rPr>
            </w:pPr>
            <w:r w:rsidRPr="0084003C">
              <w:rPr>
                <w:rFonts w:cstheme="minorHAnsi"/>
                <w:b/>
                <w:sz w:val="24"/>
                <w:szCs w:val="24"/>
              </w:rPr>
              <w:t>Route 3: Support for the broader Curriculum</w:t>
            </w:r>
          </w:p>
          <w:p w14:paraId="7FD7843E" w14:textId="09CD5906" w:rsidR="0084003C" w:rsidRPr="0084003C" w:rsidRDefault="0084003C" w:rsidP="0084003C">
            <w:pPr>
              <w:jc w:val="center"/>
              <w:rPr>
                <w:rFonts w:cstheme="minorHAnsi"/>
                <w:b/>
                <w:sz w:val="24"/>
                <w:szCs w:val="24"/>
              </w:rPr>
            </w:pPr>
          </w:p>
        </w:tc>
        <w:tc>
          <w:tcPr>
            <w:tcW w:w="4649" w:type="dxa"/>
            <w:shd w:val="clear" w:color="auto" w:fill="E7E6E6" w:themeFill="background2"/>
          </w:tcPr>
          <w:p w14:paraId="2AD3A9AA" w14:textId="77777777" w:rsidR="0084003C" w:rsidRPr="0084003C" w:rsidRDefault="0084003C" w:rsidP="0084003C">
            <w:pPr>
              <w:jc w:val="center"/>
              <w:rPr>
                <w:rFonts w:cstheme="minorHAnsi"/>
                <w:b/>
                <w:sz w:val="24"/>
                <w:szCs w:val="24"/>
              </w:rPr>
            </w:pPr>
          </w:p>
          <w:p w14:paraId="09F93417" w14:textId="2BF32B5F" w:rsidR="00E752CA" w:rsidRPr="0084003C" w:rsidRDefault="00E752CA" w:rsidP="0084003C">
            <w:pPr>
              <w:jc w:val="center"/>
              <w:rPr>
                <w:rFonts w:cstheme="minorHAnsi"/>
                <w:b/>
                <w:sz w:val="24"/>
                <w:szCs w:val="24"/>
              </w:rPr>
            </w:pPr>
            <w:r w:rsidRPr="0084003C">
              <w:rPr>
                <w:rFonts w:cstheme="minorHAnsi"/>
                <w:b/>
                <w:sz w:val="24"/>
                <w:szCs w:val="24"/>
              </w:rPr>
              <w:t>Success Criteria</w:t>
            </w:r>
          </w:p>
        </w:tc>
        <w:tc>
          <w:tcPr>
            <w:tcW w:w="4650" w:type="dxa"/>
            <w:shd w:val="clear" w:color="auto" w:fill="E7E6E6" w:themeFill="background2"/>
          </w:tcPr>
          <w:p w14:paraId="202EDB99" w14:textId="77777777" w:rsidR="0084003C" w:rsidRPr="0084003C" w:rsidRDefault="0084003C" w:rsidP="0084003C">
            <w:pPr>
              <w:jc w:val="center"/>
              <w:rPr>
                <w:rFonts w:cstheme="minorHAnsi"/>
                <w:b/>
                <w:sz w:val="24"/>
                <w:szCs w:val="24"/>
              </w:rPr>
            </w:pPr>
          </w:p>
          <w:p w14:paraId="385009AF" w14:textId="1520A38C" w:rsidR="00E752CA" w:rsidRPr="0084003C" w:rsidRDefault="00E752CA" w:rsidP="0084003C">
            <w:pPr>
              <w:jc w:val="center"/>
              <w:rPr>
                <w:rFonts w:cstheme="minorHAnsi"/>
                <w:b/>
                <w:sz w:val="24"/>
                <w:szCs w:val="24"/>
              </w:rPr>
            </w:pPr>
            <w:r w:rsidRPr="0084003C">
              <w:rPr>
                <w:rFonts w:cstheme="minorHAnsi"/>
                <w:b/>
                <w:sz w:val="24"/>
                <w:szCs w:val="24"/>
              </w:rPr>
              <w:t>Cost</w:t>
            </w:r>
          </w:p>
        </w:tc>
      </w:tr>
      <w:tr w:rsidR="00E752CA" w14:paraId="67ED5F46" w14:textId="77777777" w:rsidTr="00E752CA">
        <w:tc>
          <w:tcPr>
            <w:tcW w:w="4649" w:type="dxa"/>
          </w:tcPr>
          <w:p w14:paraId="464CB255" w14:textId="66D7B577" w:rsidR="00E752CA" w:rsidRDefault="007B7458" w:rsidP="00096EA7">
            <w:pPr>
              <w:rPr>
                <w:rFonts w:cstheme="minorHAnsi"/>
              </w:rPr>
            </w:pPr>
            <w:r w:rsidRPr="00AA2E53">
              <w:t>Occupational Therapist input (</w:t>
            </w:r>
            <w:r w:rsidR="00AA2E53" w:rsidRPr="00AA2E53">
              <w:t>Children’s Choices</w:t>
            </w:r>
            <w:r w:rsidRPr="00AA2E53">
              <w:t>)</w:t>
            </w:r>
          </w:p>
        </w:tc>
        <w:tc>
          <w:tcPr>
            <w:tcW w:w="4649" w:type="dxa"/>
          </w:tcPr>
          <w:p w14:paraId="0762346F" w14:textId="013494EB" w:rsidR="00E752CA" w:rsidRDefault="00E752CA" w:rsidP="00CA0D99">
            <w:pPr>
              <w:rPr>
                <w:rFonts w:cstheme="minorHAnsi"/>
              </w:rPr>
            </w:pPr>
            <w:r>
              <w:t xml:space="preserve">Through this </w:t>
            </w:r>
            <w:r w:rsidR="00CA0D99">
              <w:t>additional</w:t>
            </w:r>
            <w:r>
              <w:t xml:space="preserve"> provision, disadvantaged and vulnerable students </w:t>
            </w:r>
            <w:r w:rsidR="00CA0D99">
              <w:t>are</w:t>
            </w:r>
            <w:r>
              <w:t xml:space="preserve"> </w:t>
            </w:r>
            <w:proofErr w:type="gramStart"/>
            <w:r>
              <w:t>to</w:t>
            </w:r>
            <w:proofErr w:type="gramEnd"/>
            <w:r>
              <w:t xml:space="preserve"> catch-up on missed learning and are able to access new learning in their classes along with their peers.</w:t>
            </w:r>
          </w:p>
        </w:tc>
        <w:tc>
          <w:tcPr>
            <w:tcW w:w="4650" w:type="dxa"/>
          </w:tcPr>
          <w:p w14:paraId="5D8239B9" w14:textId="7DC512F2" w:rsidR="00E752CA" w:rsidRPr="00CA0D99" w:rsidRDefault="00CA0D99" w:rsidP="00096EA7">
            <w:pPr>
              <w:rPr>
                <w:rFonts w:cstheme="minorHAnsi"/>
              </w:rPr>
            </w:pPr>
            <w:r w:rsidRPr="00CA0D99">
              <w:rPr>
                <w:color w:val="000000"/>
              </w:rPr>
              <w:t>1 day (</w:t>
            </w:r>
            <w:r w:rsidR="00045CFC">
              <w:rPr>
                <w:color w:val="000000"/>
              </w:rPr>
              <w:t>6</w:t>
            </w:r>
            <w:r w:rsidRPr="00CA0D99">
              <w:rPr>
                <w:color w:val="000000"/>
              </w:rPr>
              <w:t xml:space="preserve"> hours) per</w:t>
            </w:r>
            <w:r w:rsidR="000D0479">
              <w:rPr>
                <w:color w:val="000000"/>
              </w:rPr>
              <w:t xml:space="preserve"> half term</w:t>
            </w:r>
            <w:r w:rsidRPr="00CA0D99">
              <w:rPr>
                <w:color w:val="000000"/>
              </w:rPr>
              <w:t xml:space="preserve"> between 9.am-</w:t>
            </w:r>
            <w:r w:rsidR="000D0479">
              <w:rPr>
                <w:color w:val="000000"/>
              </w:rPr>
              <w:t>3</w:t>
            </w:r>
            <w:r w:rsidRPr="00CA0D99">
              <w:rPr>
                <w:color w:val="000000"/>
              </w:rPr>
              <w:t xml:space="preserve">pm @ </w:t>
            </w:r>
            <w:r w:rsidR="00045CFC">
              <w:rPr>
                <w:color w:val="000000"/>
              </w:rPr>
              <w:t>£</w:t>
            </w:r>
            <w:r w:rsidR="009E0C9D">
              <w:rPr>
                <w:color w:val="000000"/>
              </w:rPr>
              <w:t>4,248.90</w:t>
            </w:r>
          </w:p>
        </w:tc>
      </w:tr>
      <w:tr w:rsidR="005033FC" w14:paraId="072D1BD4" w14:textId="77777777" w:rsidTr="00E752CA">
        <w:tc>
          <w:tcPr>
            <w:tcW w:w="4649" w:type="dxa"/>
          </w:tcPr>
          <w:p w14:paraId="790855CF" w14:textId="0E16E181" w:rsidR="005033FC" w:rsidRDefault="0014272A" w:rsidP="00096EA7">
            <w:pPr>
              <w:rPr>
                <w:rFonts w:cstheme="minorHAnsi"/>
              </w:rPr>
            </w:pPr>
            <w:r>
              <w:rPr>
                <w:rFonts w:cstheme="minorHAnsi"/>
              </w:rPr>
              <w:t xml:space="preserve">Communication Interventions </w:t>
            </w:r>
          </w:p>
        </w:tc>
        <w:tc>
          <w:tcPr>
            <w:tcW w:w="4649" w:type="dxa"/>
          </w:tcPr>
          <w:p w14:paraId="4FD0E9C6" w14:textId="098F437B" w:rsidR="005033FC" w:rsidRPr="00EB63A7" w:rsidRDefault="00EB63A7" w:rsidP="00CA0D99">
            <w:r w:rsidRPr="00EB63A7">
              <w:rPr>
                <w:color w:val="000000"/>
              </w:rPr>
              <w:t xml:space="preserve">Through this additional provision, disadvantaged and vulnerable students are </w:t>
            </w:r>
            <w:proofErr w:type="gramStart"/>
            <w:r w:rsidRPr="00EB63A7">
              <w:rPr>
                <w:color w:val="000000"/>
              </w:rPr>
              <w:t>to</w:t>
            </w:r>
            <w:proofErr w:type="gramEnd"/>
            <w:r w:rsidRPr="00EB63A7">
              <w:rPr>
                <w:color w:val="000000"/>
              </w:rPr>
              <w:t xml:space="preserve"> catch-up on missed learning and are able to access new learning in their classes along with their peers. </w:t>
            </w:r>
          </w:p>
        </w:tc>
        <w:tc>
          <w:tcPr>
            <w:tcW w:w="4650" w:type="dxa"/>
          </w:tcPr>
          <w:p w14:paraId="1CA52946" w14:textId="1E6032D5" w:rsidR="005033FC" w:rsidRPr="00EB63A7" w:rsidRDefault="00B50D07" w:rsidP="00096EA7">
            <w:pPr>
              <w:rPr>
                <w:rFonts w:cstheme="minorHAnsi"/>
                <w:b/>
              </w:rPr>
            </w:pPr>
            <w:r>
              <w:rPr>
                <w:color w:val="000000"/>
              </w:rPr>
              <w:t>12</w:t>
            </w:r>
            <w:r w:rsidR="00EB63A7" w:rsidRPr="00EB63A7">
              <w:rPr>
                <w:color w:val="000000"/>
              </w:rPr>
              <w:t xml:space="preserve"> hours per week between 9:00am-</w:t>
            </w:r>
            <w:r w:rsidR="005E6DC5">
              <w:rPr>
                <w:color w:val="000000"/>
              </w:rPr>
              <w:t>3</w:t>
            </w:r>
            <w:r w:rsidR="00EB63A7" w:rsidRPr="00EB63A7">
              <w:rPr>
                <w:color w:val="000000"/>
              </w:rPr>
              <w:t>pm @</w:t>
            </w:r>
            <w:r w:rsidR="00BC0D78">
              <w:rPr>
                <w:color w:val="000000"/>
              </w:rPr>
              <w:t xml:space="preserve"> £11.83</w:t>
            </w:r>
            <w:r w:rsidR="00EB63A7" w:rsidRPr="00EB63A7">
              <w:rPr>
                <w:color w:val="000000"/>
              </w:rPr>
              <w:t xml:space="preserve"> per hour x </w:t>
            </w:r>
            <w:r w:rsidR="0014272A">
              <w:rPr>
                <w:color w:val="000000"/>
              </w:rPr>
              <w:t>39</w:t>
            </w:r>
            <w:r w:rsidR="00EB63A7" w:rsidRPr="00EB63A7">
              <w:rPr>
                <w:color w:val="000000"/>
              </w:rPr>
              <w:t xml:space="preserve"> weeks =</w:t>
            </w:r>
            <w:r w:rsidR="00BC0D78">
              <w:rPr>
                <w:color w:val="000000"/>
              </w:rPr>
              <w:t xml:space="preserve"> £</w:t>
            </w:r>
            <w:r>
              <w:rPr>
                <w:color w:val="000000"/>
              </w:rPr>
              <w:t>5</w:t>
            </w:r>
            <w:r w:rsidR="00BC0D78">
              <w:rPr>
                <w:color w:val="000000"/>
              </w:rPr>
              <w:t>,</w:t>
            </w:r>
            <w:r>
              <w:rPr>
                <w:color w:val="000000"/>
              </w:rPr>
              <w:t>536.44</w:t>
            </w:r>
            <w:r w:rsidR="00BC0D78">
              <w:rPr>
                <w:color w:val="000000"/>
              </w:rPr>
              <w:t xml:space="preserve">. </w:t>
            </w:r>
            <w:r w:rsidR="00EB63A7" w:rsidRPr="00EB63A7">
              <w:rPr>
                <w:color w:val="000000"/>
              </w:rPr>
              <w:t xml:space="preserve">Based on Grade </w:t>
            </w:r>
            <w:r w:rsidR="0014272A">
              <w:rPr>
                <w:color w:val="000000"/>
              </w:rPr>
              <w:t>5</w:t>
            </w:r>
            <w:r w:rsidR="00EB63A7" w:rsidRPr="00EB63A7">
              <w:rPr>
                <w:color w:val="000000"/>
              </w:rPr>
              <w:t xml:space="preserve"> </w:t>
            </w:r>
          </w:p>
        </w:tc>
      </w:tr>
    </w:tbl>
    <w:p w14:paraId="2C45B9D1" w14:textId="39FF84BE" w:rsidR="00345673" w:rsidRDefault="008C405C" w:rsidP="00096EA7">
      <w:pPr>
        <w:rPr>
          <w:rFonts w:cstheme="minorHAnsi"/>
        </w:rPr>
      </w:pPr>
      <w:r>
        <w:rPr>
          <w:rFonts w:cstheme="minorHAnsi"/>
        </w:rPr>
        <w:t xml:space="preserve">Whilst we cover some of the costs of </w:t>
      </w:r>
      <w:r w:rsidR="00F3499C">
        <w:rPr>
          <w:rFonts w:cstheme="minorHAnsi"/>
        </w:rPr>
        <w:t>Physical and Sensory input</w:t>
      </w:r>
      <w:r>
        <w:rPr>
          <w:rFonts w:cstheme="minorHAnsi"/>
        </w:rPr>
        <w:t xml:space="preserve"> through </w:t>
      </w:r>
      <w:r w:rsidR="00F3499C">
        <w:rPr>
          <w:rFonts w:cstheme="minorHAnsi"/>
        </w:rPr>
        <w:t>SP</w:t>
      </w:r>
      <w:r>
        <w:rPr>
          <w:rFonts w:cstheme="minorHAnsi"/>
        </w:rPr>
        <w:t xml:space="preserve"> money these are additional charges that are not covered through that fund.</w:t>
      </w:r>
    </w:p>
    <w:p w14:paraId="6C2BAA25" w14:textId="457397D2" w:rsidR="00BE396F" w:rsidRPr="00BE396F" w:rsidRDefault="00BE396F" w:rsidP="00096EA7">
      <w:pPr>
        <w:rPr>
          <w:rFonts w:cstheme="minorHAnsi"/>
          <w:b/>
        </w:rPr>
      </w:pPr>
      <w:r w:rsidRPr="00BE396F">
        <w:rPr>
          <w:rFonts w:cstheme="minorHAnsi"/>
          <w:b/>
        </w:rPr>
        <w:t>Total</w:t>
      </w:r>
      <w:r w:rsidR="00BC0D78">
        <w:rPr>
          <w:rFonts w:cstheme="minorHAnsi"/>
          <w:b/>
        </w:rPr>
        <w:t>:</w:t>
      </w:r>
      <w:r w:rsidRPr="00BE396F">
        <w:rPr>
          <w:rFonts w:cstheme="minorHAnsi"/>
          <w:b/>
        </w:rPr>
        <w:t xml:space="preserve"> </w:t>
      </w:r>
      <w:r w:rsidR="00BC0D78" w:rsidRPr="00BC0D78">
        <w:rPr>
          <w:rFonts w:cstheme="minorHAnsi"/>
          <w:b/>
          <w:color w:val="FF0000"/>
        </w:rPr>
        <w:t xml:space="preserve"> – </w:t>
      </w:r>
      <w:r w:rsidR="009E0C9D">
        <w:rPr>
          <w:rFonts w:cstheme="minorHAnsi"/>
          <w:b/>
          <w:color w:val="FF0000"/>
        </w:rPr>
        <w:t>£9785.34</w:t>
      </w:r>
    </w:p>
    <w:p w14:paraId="1ACAED4A" w14:textId="75FDFDA8" w:rsidR="00BE396F" w:rsidRDefault="00BE396F" w:rsidP="00096EA7">
      <w:pPr>
        <w:rPr>
          <w:rFonts w:cstheme="minorHAnsi"/>
        </w:rPr>
      </w:pPr>
    </w:p>
    <w:p w14:paraId="2BF904B4" w14:textId="30164D83" w:rsidR="00BE396F" w:rsidRDefault="00BE396F" w:rsidP="00096EA7">
      <w:pPr>
        <w:rPr>
          <w:rFonts w:cstheme="minorHAnsi"/>
          <w:b/>
          <w:color w:val="FF0000"/>
        </w:rPr>
      </w:pPr>
      <w:r w:rsidRPr="00BE396F">
        <w:rPr>
          <w:rFonts w:cstheme="minorHAnsi"/>
          <w:b/>
        </w:rPr>
        <w:t xml:space="preserve">Target Expenditure </w:t>
      </w:r>
      <w:r w:rsidR="00BC0D78" w:rsidRPr="00BC0D78">
        <w:rPr>
          <w:rFonts w:cstheme="minorHAnsi"/>
          <w:b/>
          <w:color w:val="FF0000"/>
        </w:rPr>
        <w:t>£</w:t>
      </w:r>
      <w:r w:rsidR="009E0C9D">
        <w:rPr>
          <w:rFonts w:cstheme="minorHAnsi"/>
          <w:b/>
          <w:color w:val="FF0000"/>
        </w:rPr>
        <w:t>7,402.50</w:t>
      </w:r>
    </w:p>
    <w:p w14:paraId="12293E50" w14:textId="53484F57" w:rsidR="007E2432" w:rsidRDefault="007E2432" w:rsidP="00096EA7">
      <w:pPr>
        <w:rPr>
          <w:rFonts w:cstheme="minorHAnsi"/>
          <w:b/>
          <w:color w:val="FF0000"/>
        </w:rPr>
      </w:pPr>
    </w:p>
    <w:p w14:paraId="066F13ED" w14:textId="3987B113" w:rsidR="007E2432" w:rsidRDefault="007E2432" w:rsidP="007E2432">
      <w:pPr>
        <w:rPr>
          <w:rFonts w:cstheme="minorHAnsi"/>
          <w:b/>
          <w:u w:val="single"/>
        </w:rPr>
      </w:pPr>
      <w:r>
        <w:rPr>
          <w:rFonts w:cstheme="minorHAnsi"/>
          <w:b/>
          <w:u w:val="single"/>
        </w:rPr>
        <w:t>Evaluation of impact – July 2</w:t>
      </w:r>
      <w:r w:rsidR="006B551D">
        <w:rPr>
          <w:rFonts w:cstheme="minorHAnsi"/>
          <w:b/>
          <w:u w:val="single"/>
        </w:rPr>
        <w:t>4</w:t>
      </w:r>
    </w:p>
    <w:p w14:paraId="5F177958" w14:textId="49AA4605" w:rsidR="00C53FBD" w:rsidRPr="00BC0D78" w:rsidRDefault="00C53FBD" w:rsidP="00096EA7">
      <w:pPr>
        <w:rPr>
          <w:rFonts w:cstheme="minorHAnsi"/>
          <w:b/>
          <w:color w:val="FF0000"/>
        </w:rPr>
      </w:pPr>
      <w:r>
        <w:rPr>
          <w:rFonts w:cstheme="minorHAnsi"/>
          <w:bCs/>
        </w:rPr>
        <w:t xml:space="preserve"> </w:t>
      </w:r>
    </w:p>
    <w:sectPr w:rsidR="00C53FBD" w:rsidRPr="00BC0D78" w:rsidSect="00096EA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79C7F4"/>
    <w:rsid w:val="00045CFC"/>
    <w:rsid w:val="00065D2A"/>
    <w:rsid w:val="00096EA7"/>
    <w:rsid w:val="000D01E5"/>
    <w:rsid w:val="000D0479"/>
    <w:rsid w:val="00121497"/>
    <w:rsid w:val="0014272A"/>
    <w:rsid w:val="002A0C75"/>
    <w:rsid w:val="002B3D73"/>
    <w:rsid w:val="00345673"/>
    <w:rsid w:val="00372CFA"/>
    <w:rsid w:val="00480780"/>
    <w:rsid w:val="005033FC"/>
    <w:rsid w:val="00586313"/>
    <w:rsid w:val="005E6DC5"/>
    <w:rsid w:val="00642B34"/>
    <w:rsid w:val="00674329"/>
    <w:rsid w:val="006B551D"/>
    <w:rsid w:val="00784FC2"/>
    <w:rsid w:val="007B7458"/>
    <w:rsid w:val="007E2432"/>
    <w:rsid w:val="0084003C"/>
    <w:rsid w:val="008B41D9"/>
    <w:rsid w:val="008C405C"/>
    <w:rsid w:val="00965CC8"/>
    <w:rsid w:val="009E0C9D"/>
    <w:rsid w:val="00AA2E53"/>
    <w:rsid w:val="00B50D07"/>
    <w:rsid w:val="00BC0D78"/>
    <w:rsid w:val="00BE396F"/>
    <w:rsid w:val="00C26BB4"/>
    <w:rsid w:val="00C53FBD"/>
    <w:rsid w:val="00C73BF6"/>
    <w:rsid w:val="00CA0D99"/>
    <w:rsid w:val="00CC42A0"/>
    <w:rsid w:val="00D93369"/>
    <w:rsid w:val="00E205A8"/>
    <w:rsid w:val="00E608E9"/>
    <w:rsid w:val="00E752CA"/>
    <w:rsid w:val="00EB63A7"/>
    <w:rsid w:val="00F0797A"/>
    <w:rsid w:val="00F3499C"/>
    <w:rsid w:val="00F44206"/>
    <w:rsid w:val="4379C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C7F4"/>
  <w15:chartTrackingRefBased/>
  <w15:docId w15:val="{3B80FF01-F7FC-4E4B-ACAF-BBA6E05C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Swift</dc:creator>
  <cp:keywords/>
  <dc:description/>
  <cp:lastModifiedBy>Mrs H. Summers</cp:lastModifiedBy>
  <cp:revision>2</cp:revision>
  <dcterms:created xsi:type="dcterms:W3CDTF">2023-07-18T13:36:00Z</dcterms:created>
  <dcterms:modified xsi:type="dcterms:W3CDTF">2023-07-18T13:36:00Z</dcterms:modified>
</cp:coreProperties>
</file>